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159" w:rsidRDefault="003D4159" w:rsidP="00F14FA9">
      <w:pPr>
        <w:rPr>
          <w:sz w:val="2"/>
        </w:rPr>
      </w:pPr>
    </w:p>
    <w:p w:rsidR="003D4159" w:rsidRDefault="00664155" w:rsidP="003D4159">
      <w:r>
        <w:rPr>
          <w:noProof/>
          <w:lang w:eastAsia="fr-FR"/>
        </w:rPr>
        <w:pict>
          <v:rect id="_x0000_s1078" style="position:absolute;margin-left:598.95pt;margin-top:8.75pt;width:206.25pt;height:46.95pt;z-index:251752448" filled="f" stroked="f">
            <v:textbox style="mso-next-textbox:#_x0000_s1078">
              <w:txbxContent>
                <w:p w:rsidR="003D4159" w:rsidRPr="005D64A1" w:rsidRDefault="003D4159" w:rsidP="003D4159">
                  <w:pPr>
                    <w:spacing w:after="0" w:line="240" w:lineRule="auto"/>
                    <w:ind w:left="-142" w:right="-199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Sciences expérimentales et technologiques</w:t>
                  </w:r>
                </w:p>
                <w:p w:rsidR="003D4159" w:rsidRPr="00EE2AB6" w:rsidRDefault="003D4159" w:rsidP="003D415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F79646" w:themeColor="accent6"/>
                      <w:sz w:val="28"/>
                    </w:rPr>
                  </w:pPr>
                  <w:r w:rsidRPr="00EE2AB6">
                    <w:rPr>
                      <w:rFonts w:ascii="Tekton Pro Ext" w:hAnsi="Tekton Pro Ext"/>
                      <w:shadow/>
                      <w:color w:val="F79646" w:themeColor="accent6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9" style="position:absolute;margin-left:85.7pt;margin-top:18pt;width:506.35pt;height:37.35pt;z-index:-251563008" fillcolor="#fbd4b4 [1305]" strokecolor="#fbd4b4 [1305]"/>
        </w:pict>
      </w:r>
      <w:r>
        <w:rPr>
          <w:noProof/>
          <w:lang w:eastAsia="fr-FR"/>
        </w:rPr>
        <w:pict>
          <v:roundrect id="_x0000_s1075" style="position:absolute;margin-left:85.15pt;margin-top:-15.2pt;width:506.9pt;height:70.55pt;z-index:-251567104" arcsize="26102f" fillcolor="#fbd4b4 [1305]" strokecolor="#fbd4b4 [1305]"/>
        </w:pict>
      </w:r>
      <w:r>
        <w:rPr>
          <w:noProof/>
          <w:lang w:eastAsia="fr-FR"/>
        </w:rPr>
        <w:pict>
          <v:rect id="_x0000_s1081" style="position:absolute;margin-left:116.6pt;margin-top:-.2pt;width:193.65pt;height:50.5pt;z-index:251755520" filled="f" stroked="f">
            <v:textbox style="mso-next-textbox:#_x0000_s1081">
              <w:txbxContent>
                <w:p w:rsidR="003D4159" w:rsidRPr="00AE1176" w:rsidRDefault="003D4159" w:rsidP="003D415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080" style="position:absolute;margin-left:111.9pt;margin-top:-6.7pt;width:170pt;height:54pt;z-index:251754496" arcsize="10923f" fillcolor="white [3201]" strokecolor="#fde9d9 [665]" strokeweight="5pt">
            <v:stroke linestyle="thickThin"/>
            <v:shadow color="#868686"/>
            <v:textbox style="mso-next-textbox:#_x0000_s1080">
              <w:txbxContent>
                <w:p w:rsidR="003D4159" w:rsidRPr="00AE1176" w:rsidRDefault="003D4159" w:rsidP="003D415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_x0000_s1077" style="position:absolute;margin-left:-30.65pt;margin-top:9.55pt;width:145.3pt;height:46.95pt;z-index:251751424" filled="f" stroked="f">
            <v:textbox style="mso-next-textbox:#_x0000_s1077">
              <w:txbxContent>
                <w:p w:rsidR="003D4159" w:rsidRPr="005D64A1" w:rsidRDefault="00421065" w:rsidP="003D415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3D4159" w:rsidRPr="00EE2AB6" w:rsidRDefault="003D4159" w:rsidP="003D415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F79646" w:themeColor="accent6"/>
                      <w:sz w:val="28"/>
                    </w:rPr>
                  </w:pPr>
                  <w:r w:rsidRPr="00EE2AB6">
                    <w:rPr>
                      <w:rFonts w:ascii="Tekton Pro Cond" w:hAnsi="Tekton Pro Cond"/>
                      <w:color w:val="F79646" w:themeColor="accent6"/>
                      <w:sz w:val="28"/>
                    </w:rPr>
                    <w:t>Par période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072" style="position:absolute;margin-left:-7.2pt;margin-top:2pt;width:820pt;height:53.35pt;z-index:-251568128" coordorigin="152,530" coordsize="11615,1067">
            <v:roundrect id="_x0000_s1073" style="position:absolute;left:152;top:530;width:11615;height:869" arcsize="30392f" fillcolor="#fde9d9 [665]" strokecolor="#fde9d9 [665]"/>
            <v:rect id="_x0000_s1074" style="position:absolute;left:152;top:1054;width:11615;height:543" fillcolor="#fde9d9 [665]" strokecolor="#fde9d9 [665]"/>
          </v:group>
        </w:pict>
      </w:r>
      <w:r>
        <w:rPr>
          <w:noProof/>
          <w:lang w:eastAsia="fr-FR"/>
        </w:rPr>
        <w:pict>
          <v:rect id="_x0000_s1076" style="position:absolute;margin-left:219.85pt;margin-top:-7.4pt;width:372.2pt;height:57.15pt;z-index:251750400" filled="f" stroked="f">
            <v:textbox style="mso-next-textbox:#_x0000_s1076">
              <w:txbxContent>
                <w:p w:rsidR="003D4159" w:rsidRPr="00AE1176" w:rsidRDefault="003D4159" w:rsidP="003D4159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</w:p>
    <w:p w:rsidR="003D4159" w:rsidRDefault="003D4159" w:rsidP="003D4159"/>
    <w:p w:rsidR="003D4159" w:rsidRDefault="00664155" w:rsidP="003D4159">
      <w:pPr>
        <w:ind w:left="1843"/>
        <w:rPr>
          <w:sz w:val="2"/>
        </w:rPr>
      </w:pPr>
      <w:r w:rsidRPr="00664155">
        <w:rPr>
          <w:noProof/>
          <w:color w:val="F79646" w:themeColor="accent6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1" type="#_x0000_t32" style="position:absolute;left:0;text-align:left;margin-left:83.25pt;margin-top:.75pt;width:3.4pt;height:2485.4pt;flip:x;z-index:-251569152" o:connectortype="straight" strokecolor="#fbd4b4 [1305]" strokeweight="2.25pt">
            <v:stroke dashstyle="1 1" endcap="round"/>
          </v:shape>
        </w:pict>
      </w:r>
    </w:p>
    <w:p w:rsidR="003D4159" w:rsidRDefault="003D4159" w:rsidP="00F14FA9">
      <w:pPr>
        <w:rPr>
          <w:sz w:val="2"/>
        </w:rPr>
      </w:pPr>
    </w:p>
    <w:tbl>
      <w:tblPr>
        <w:tblStyle w:val="TableGrid"/>
        <w:tblW w:w="0" w:type="auto"/>
        <w:shd w:val="clear" w:color="auto" w:fill="FFFFFF" w:themeFill="background1"/>
        <w:tblLook w:val="04A0"/>
      </w:tblPr>
      <w:tblGrid>
        <w:gridCol w:w="2716"/>
        <w:gridCol w:w="2716"/>
        <w:gridCol w:w="2716"/>
        <w:gridCol w:w="2717"/>
        <w:gridCol w:w="2717"/>
        <w:gridCol w:w="2717"/>
      </w:tblGrid>
      <w:tr w:rsidR="004D10F0" w:rsidTr="004D10F0">
        <w:tc>
          <w:tcPr>
            <w:tcW w:w="2716" w:type="dxa"/>
            <w:tcBorders>
              <w:top w:val="nil"/>
              <w:left w:val="nil"/>
            </w:tcBorders>
            <w:shd w:val="clear" w:color="auto" w:fill="auto"/>
          </w:tcPr>
          <w:p w:rsidR="004D10F0" w:rsidRDefault="004D10F0" w:rsidP="00F14FA9">
            <w:pPr>
              <w:rPr>
                <w:sz w:val="20"/>
                <w:szCs w:val="20"/>
              </w:rPr>
            </w:pP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jc w:val="center"/>
            </w:pPr>
            <w:r>
              <w:rPr>
                <w:rFonts w:ascii="MamaeQueNosFaz" w:hAnsi="MamaeQueNosFaz"/>
                <w:sz w:val="36"/>
                <w:szCs w:val="32"/>
              </w:rPr>
              <w:t>Période 1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jc w:val="center"/>
            </w:pPr>
            <w:r>
              <w:rPr>
                <w:rFonts w:ascii="MamaeQueNosFaz" w:hAnsi="MamaeQueNosFaz"/>
                <w:sz w:val="36"/>
                <w:szCs w:val="32"/>
              </w:rPr>
              <w:t>Période 2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jc w:val="center"/>
            </w:pPr>
            <w:r>
              <w:rPr>
                <w:rFonts w:ascii="MamaeQueNosFaz" w:hAnsi="MamaeQueNosFaz"/>
                <w:sz w:val="36"/>
                <w:szCs w:val="32"/>
              </w:rPr>
              <w:t>Période 3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jc w:val="center"/>
            </w:pPr>
            <w:r>
              <w:rPr>
                <w:rFonts w:ascii="MamaeQueNosFaz" w:hAnsi="MamaeQueNosFaz"/>
                <w:sz w:val="36"/>
                <w:szCs w:val="32"/>
              </w:rPr>
              <w:t>Période 4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jc w:val="center"/>
            </w:pPr>
            <w:r>
              <w:rPr>
                <w:rFonts w:ascii="MamaeQueNosFaz" w:hAnsi="MamaeQueNosFaz"/>
                <w:sz w:val="36"/>
                <w:szCs w:val="32"/>
              </w:rPr>
              <w:t>Période 5</w:t>
            </w:r>
          </w:p>
        </w:tc>
      </w:tr>
      <w:tr w:rsidR="004D10F0" w:rsidTr="004D10F0">
        <w:tc>
          <w:tcPr>
            <w:tcW w:w="2716" w:type="dxa"/>
            <w:shd w:val="clear" w:color="auto" w:fill="FDE9D9" w:themeFill="accent6" w:themeFillTint="33"/>
            <w:vAlign w:val="center"/>
          </w:tcPr>
          <w:p w:rsidR="004D10F0" w:rsidRPr="004D10F0" w:rsidRDefault="004D10F0" w:rsidP="004D10F0">
            <w:pPr>
              <w:jc w:val="center"/>
              <w:rPr>
                <w:color w:val="000000" w:themeColor="text1"/>
                <w:szCs w:val="20"/>
              </w:rPr>
            </w:pPr>
            <w:r w:rsidRPr="004D10F0">
              <w:rPr>
                <w:rFonts w:ascii="KG Ten Thousand Reasons" w:hAnsi="KG Ten Thousand Reasons"/>
                <w:smallCaps/>
                <w:color w:val="F79646" w:themeColor="accent6"/>
              </w:rPr>
              <w:t>L</w:t>
            </w:r>
            <w:r w:rsidRPr="004D10F0">
              <w:rPr>
                <w:rFonts w:ascii="KG Ten Thousand Reasons" w:hAnsi="KG Ten Thousand Reasons"/>
                <w:smallCaps/>
                <w:color w:val="000000" w:themeColor="text1"/>
              </w:rPr>
              <w:t>e ciel et la Terre :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79646" w:themeColor="accent6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F79646" w:themeColor="accent6"/>
                <w:sz w:val="22"/>
                <w:szCs w:val="28"/>
              </w:rPr>
              <w:t>CT1 : Lumière et ombre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79646" w:themeColor="accent6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F79646" w:themeColor="accent6"/>
                <w:sz w:val="22"/>
                <w:szCs w:val="28"/>
              </w:rPr>
              <w:t>CT2 : Le mouvement de la Terre (et des planètes) autour du Soleil (jours et saisons)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79646" w:themeColor="accent6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F79646" w:themeColor="accent6"/>
                <w:sz w:val="22"/>
                <w:szCs w:val="28"/>
              </w:rPr>
              <w:t>CT3 : Le mouvement de la Terre (et des planètes) autour du Soleil (équinoxe et solstice)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79646" w:themeColor="accent6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F79646" w:themeColor="accent6"/>
                <w:sz w:val="22"/>
                <w:szCs w:val="28"/>
              </w:rPr>
              <w:t>CT4 : Le mouvement de la Terre (et des planètes) autour du Soleil (système solaire)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79646" w:themeColor="accent6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F79646" w:themeColor="accent6"/>
                <w:sz w:val="22"/>
                <w:szCs w:val="28"/>
              </w:rPr>
              <w:t>CT5 : Le mouvement de la Terre (et des planètes) autour du Soleil (différencier les astres)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79646" w:themeColor="accent6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F79646" w:themeColor="accent6"/>
                <w:sz w:val="22"/>
                <w:szCs w:val="28"/>
              </w:rPr>
              <w:t>CT6 : Volcans et séismes (décrire une éruption)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79646" w:themeColor="accent6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F79646" w:themeColor="accent6"/>
                <w:sz w:val="22"/>
                <w:szCs w:val="28"/>
              </w:rPr>
              <w:t>CT7 : Volcans et séismes (distinguer les éruptions)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79646" w:themeColor="accent6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F79646" w:themeColor="accent6"/>
                <w:sz w:val="22"/>
                <w:szCs w:val="28"/>
              </w:rPr>
              <w:t>CT8 : Volcans et séismes (tremblements de terre)</w:t>
            </w:r>
          </w:p>
        </w:tc>
      </w:tr>
      <w:tr w:rsidR="004D10F0" w:rsidTr="004D10F0">
        <w:tc>
          <w:tcPr>
            <w:tcW w:w="2716" w:type="dxa"/>
            <w:shd w:val="clear" w:color="auto" w:fill="DAEEF3" w:themeFill="accent5" w:themeFillTint="33"/>
            <w:vAlign w:val="center"/>
          </w:tcPr>
          <w:p w:rsidR="004D10F0" w:rsidRPr="004D10F0" w:rsidRDefault="004D10F0" w:rsidP="004D10F0">
            <w:pPr>
              <w:jc w:val="center"/>
              <w:rPr>
                <w:color w:val="000000" w:themeColor="text1"/>
              </w:rPr>
            </w:pPr>
            <w:r w:rsidRPr="004D10F0">
              <w:rPr>
                <w:rFonts w:ascii="KG Ten Thousand Reasons" w:hAnsi="KG Ten Thousand Reasons"/>
                <w:smallCaps/>
                <w:color w:val="4BACC6" w:themeColor="accent5"/>
              </w:rPr>
              <w:t>L</w:t>
            </w:r>
            <w:r w:rsidRPr="004D10F0">
              <w:rPr>
                <w:rFonts w:ascii="KG Ten Thousand Reasons" w:hAnsi="KG Ten Thousand Reasons"/>
                <w:smallCaps/>
                <w:color w:val="000000" w:themeColor="text1"/>
              </w:rPr>
              <w:t>a matière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BACC6" w:themeColor="accent5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BACC6" w:themeColor="accent5"/>
                <w:sz w:val="22"/>
                <w:szCs w:val="28"/>
              </w:rPr>
              <w:t>M1 : État set changements d'état (l'eau)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BACC6" w:themeColor="accent5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BACC6" w:themeColor="accent5"/>
                <w:sz w:val="22"/>
                <w:szCs w:val="28"/>
              </w:rPr>
              <w:t>M2 : États et changements d'état (les autres matières)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BACC6" w:themeColor="accent5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BACC6" w:themeColor="accent5"/>
                <w:sz w:val="22"/>
                <w:szCs w:val="28"/>
              </w:rPr>
              <w:t>M3 : États et changements d'état (caractéristiques des états)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BACC6" w:themeColor="accent5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BACC6" w:themeColor="accent5"/>
                <w:sz w:val="22"/>
                <w:szCs w:val="28"/>
              </w:rPr>
              <w:t>M4 : États et changements d'état (l'évaporation)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BACC6" w:themeColor="accent5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BACC6" w:themeColor="accent5"/>
                <w:sz w:val="22"/>
                <w:szCs w:val="28"/>
              </w:rPr>
              <w:t>M5 : Le trajet de l'eau dans la nature (connaître et représenter le trajet)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BACC6" w:themeColor="accent5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BACC6" w:themeColor="accent5"/>
                <w:sz w:val="22"/>
                <w:szCs w:val="28"/>
              </w:rPr>
              <w:t>M6 : Le trajet de l'eau dans la nature (identifier les changements d'état dans le cycle)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BACC6" w:themeColor="accent5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BACC6" w:themeColor="accent5"/>
                <w:sz w:val="22"/>
                <w:szCs w:val="28"/>
              </w:rPr>
              <w:t>M7 : Le trajet de l'eau dans la nature (risques majeurs)</w:t>
            </w:r>
          </w:p>
        </w:tc>
      </w:tr>
      <w:tr w:rsidR="004D10F0" w:rsidTr="004D10F0">
        <w:tc>
          <w:tcPr>
            <w:tcW w:w="2716" w:type="dxa"/>
            <w:shd w:val="clear" w:color="auto" w:fill="E5DFEC" w:themeFill="accent4" w:themeFillTint="33"/>
            <w:vAlign w:val="center"/>
          </w:tcPr>
          <w:p w:rsidR="004D10F0" w:rsidRPr="004D10F0" w:rsidRDefault="004D10F0" w:rsidP="004D10F0">
            <w:pPr>
              <w:jc w:val="center"/>
              <w:rPr>
                <w:color w:val="000000" w:themeColor="text1"/>
              </w:rPr>
            </w:pPr>
            <w:r w:rsidRPr="004D10F0">
              <w:rPr>
                <w:rFonts w:ascii="KG Ten Thousand Reasons" w:hAnsi="KG Ten Thousand Reasons"/>
                <w:smallCaps/>
                <w:color w:val="8064A2" w:themeColor="accent4"/>
              </w:rPr>
              <w:t>L</w:t>
            </w:r>
            <w:r w:rsidRPr="004D10F0">
              <w:rPr>
                <w:rFonts w:ascii="KG Ten Thousand Reasons" w:hAnsi="KG Ten Thousand Reasons"/>
                <w:smallCaps/>
                <w:color w:val="000000" w:themeColor="text1"/>
              </w:rPr>
              <w:t>’énergie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64A2" w:themeColor="accent4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64A2" w:themeColor="accent4"/>
                <w:sz w:val="22"/>
                <w:szCs w:val="28"/>
              </w:rPr>
              <w:t>E1 : Identifier diverses sources d'énergie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64A2" w:themeColor="accent4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64A2" w:themeColor="accent4"/>
                <w:sz w:val="22"/>
                <w:szCs w:val="28"/>
              </w:rPr>
              <w:t>E2 : Savoir que l'utilisation d'une source d'énergie est nécessaire pour chauffer, éclaire, mettre en mouvement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64A2" w:themeColor="accent4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64A2" w:themeColor="accent4"/>
                <w:sz w:val="22"/>
                <w:szCs w:val="28"/>
              </w:rPr>
              <w:t>E3 : Utiliser un dispositif mettant en évidence la transformation de l'énergie</w:t>
            </w:r>
          </w:p>
        </w:tc>
        <w:tc>
          <w:tcPr>
            <w:tcW w:w="2717" w:type="dxa"/>
            <w:shd w:val="clear" w:color="auto" w:fill="F2F2F2" w:themeFill="background1" w:themeFillShade="F2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64A2" w:themeColor="accent4"/>
                <w:sz w:val="22"/>
                <w:szCs w:val="28"/>
              </w:rPr>
            </w:pPr>
          </w:p>
        </w:tc>
        <w:tc>
          <w:tcPr>
            <w:tcW w:w="2717" w:type="dxa"/>
            <w:shd w:val="clear" w:color="auto" w:fill="F2F2F2" w:themeFill="background1" w:themeFillShade="F2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64A2" w:themeColor="accent4"/>
                <w:sz w:val="22"/>
                <w:szCs w:val="28"/>
              </w:rPr>
            </w:pPr>
          </w:p>
        </w:tc>
      </w:tr>
      <w:tr w:rsidR="004D10F0" w:rsidTr="004D10F0">
        <w:tc>
          <w:tcPr>
            <w:tcW w:w="2716" w:type="dxa"/>
            <w:shd w:val="clear" w:color="auto" w:fill="EAF1DD" w:themeFill="accent3" w:themeFillTint="33"/>
            <w:vAlign w:val="center"/>
          </w:tcPr>
          <w:p w:rsidR="004D10F0" w:rsidRPr="004D10F0" w:rsidRDefault="004D10F0" w:rsidP="004D10F0">
            <w:pPr>
              <w:jc w:val="center"/>
              <w:rPr>
                <w:color w:val="000000" w:themeColor="text1"/>
              </w:rPr>
            </w:pPr>
            <w:r w:rsidRPr="004D10F0">
              <w:rPr>
                <w:rFonts w:ascii="KG Ten Thousand Reasons" w:hAnsi="KG Ten Thousand Reasons"/>
                <w:smallCaps/>
                <w:color w:val="9BBB59" w:themeColor="accent3"/>
              </w:rPr>
              <w:t>L</w:t>
            </w:r>
            <w:r w:rsidRPr="004D10F0">
              <w:rPr>
                <w:rFonts w:ascii="KG Ten Thousand Reasons" w:hAnsi="KG Ten Thousand Reasons"/>
                <w:smallCaps/>
                <w:color w:val="000000" w:themeColor="text1"/>
              </w:rPr>
              <w:t>’unité et la diversité du vivant</w:t>
            </w:r>
          </w:p>
        </w:tc>
        <w:tc>
          <w:tcPr>
            <w:tcW w:w="2716" w:type="dxa"/>
            <w:shd w:val="clear" w:color="auto" w:fill="F2F2F2" w:themeFill="background1" w:themeFillShade="F2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F6633"/>
                <w:sz w:val="22"/>
                <w:szCs w:val="28"/>
              </w:rPr>
            </w:pPr>
          </w:p>
        </w:tc>
        <w:tc>
          <w:tcPr>
            <w:tcW w:w="2716" w:type="dxa"/>
            <w:shd w:val="clear" w:color="auto" w:fill="F2F2F2" w:themeFill="background1" w:themeFillShade="F2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F6633"/>
                <w:sz w:val="22"/>
                <w:szCs w:val="28"/>
              </w:rPr>
            </w:pPr>
          </w:p>
        </w:tc>
        <w:tc>
          <w:tcPr>
            <w:tcW w:w="2717" w:type="dxa"/>
            <w:shd w:val="clear" w:color="auto" w:fill="F2F2F2" w:themeFill="background1" w:themeFillShade="F2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F6633"/>
                <w:sz w:val="22"/>
                <w:szCs w:val="28"/>
              </w:rPr>
            </w:pP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9BBB59" w:themeColor="accent3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9BBB59" w:themeColor="accent3"/>
                <w:sz w:val="22"/>
                <w:szCs w:val="28"/>
              </w:rPr>
              <w:t>UDV1 : Identifier les différentes caractéristiques du vivant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9BBB59" w:themeColor="accent3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9BBB59" w:themeColor="accent3"/>
                <w:sz w:val="22"/>
                <w:szCs w:val="28"/>
              </w:rPr>
              <w:t>UDV2 : Découvrir que les être vivants ont une organisation et des fonctions semblables</w:t>
            </w:r>
          </w:p>
        </w:tc>
      </w:tr>
      <w:tr w:rsidR="004D10F0" w:rsidTr="004D10F0">
        <w:tc>
          <w:tcPr>
            <w:tcW w:w="2716" w:type="dxa"/>
            <w:shd w:val="clear" w:color="auto" w:fill="F2DBDB" w:themeFill="accent2" w:themeFillTint="33"/>
            <w:vAlign w:val="center"/>
          </w:tcPr>
          <w:p w:rsidR="004D10F0" w:rsidRPr="004D10F0" w:rsidRDefault="004D10F0" w:rsidP="004D10F0">
            <w:pPr>
              <w:jc w:val="center"/>
              <w:rPr>
                <w:color w:val="000000" w:themeColor="text1"/>
              </w:rPr>
            </w:pPr>
            <w:r w:rsidRPr="004D10F0">
              <w:rPr>
                <w:rFonts w:ascii="KG Ten Thousand Reasons" w:hAnsi="KG Ten Thousand Reasons"/>
                <w:smallCaps/>
                <w:color w:val="C0504D" w:themeColor="accent2"/>
              </w:rPr>
              <w:t>L</w:t>
            </w:r>
            <w:r w:rsidRPr="004D10F0">
              <w:rPr>
                <w:rFonts w:ascii="KG Ten Thousand Reasons" w:hAnsi="KG Ten Thousand Reasons"/>
                <w:smallCaps/>
                <w:color w:val="000000" w:themeColor="text1"/>
              </w:rPr>
              <w:t>e fonctionnement du corps humain et la santé</w:t>
            </w:r>
          </w:p>
        </w:tc>
        <w:tc>
          <w:tcPr>
            <w:tcW w:w="2716" w:type="dxa"/>
            <w:shd w:val="clear" w:color="auto" w:fill="F2F2F2" w:themeFill="background1" w:themeFillShade="F2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F6633"/>
                <w:sz w:val="22"/>
                <w:szCs w:val="28"/>
              </w:rPr>
            </w:pPr>
          </w:p>
        </w:tc>
        <w:tc>
          <w:tcPr>
            <w:tcW w:w="2716" w:type="dxa"/>
            <w:shd w:val="clear" w:color="auto" w:fill="F2F2F2" w:themeFill="background1" w:themeFillShade="F2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FF6633"/>
                <w:sz w:val="22"/>
                <w:szCs w:val="28"/>
              </w:rPr>
            </w:pPr>
          </w:p>
        </w:tc>
        <w:tc>
          <w:tcPr>
            <w:tcW w:w="2717" w:type="dxa"/>
            <w:shd w:val="clear" w:color="auto" w:fill="F2F2F2" w:themeFill="background1" w:themeFillShade="F2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C0504D" w:themeColor="accent2"/>
                <w:sz w:val="22"/>
                <w:szCs w:val="28"/>
              </w:rPr>
            </w:pP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C0504D" w:themeColor="accent2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C0504D" w:themeColor="accent2"/>
                <w:sz w:val="22"/>
                <w:szCs w:val="28"/>
              </w:rPr>
              <w:t>FV1 : Construire le cycle de vie naturel d'un végétal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C0504D" w:themeColor="accent2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C0504D" w:themeColor="accent2"/>
                <w:sz w:val="22"/>
                <w:szCs w:val="28"/>
              </w:rPr>
              <w:t>FV2 : Construire le cycle d'un animal (croissances continue et discontinue)</w:t>
            </w:r>
          </w:p>
        </w:tc>
      </w:tr>
      <w:tr w:rsidR="004D10F0" w:rsidTr="004D10F0">
        <w:tc>
          <w:tcPr>
            <w:tcW w:w="2716" w:type="dxa"/>
            <w:shd w:val="clear" w:color="auto" w:fill="DBE5F1" w:themeFill="accent1" w:themeFillTint="33"/>
            <w:vAlign w:val="center"/>
          </w:tcPr>
          <w:p w:rsidR="004D10F0" w:rsidRPr="004D10F0" w:rsidRDefault="004D10F0" w:rsidP="004D10F0">
            <w:pPr>
              <w:jc w:val="center"/>
              <w:rPr>
                <w:color w:val="000000" w:themeColor="text1"/>
              </w:rPr>
            </w:pPr>
            <w:r w:rsidRPr="004D10F0">
              <w:rPr>
                <w:rFonts w:ascii="KG Ten Thousand Reasons" w:hAnsi="KG Ten Thousand Reasons"/>
                <w:smallCaps/>
                <w:color w:val="4F81BD" w:themeColor="accent1"/>
              </w:rPr>
              <w:t>L</w:t>
            </w:r>
            <w:r w:rsidRPr="004D10F0">
              <w:rPr>
                <w:rFonts w:ascii="KG Ten Thousand Reasons" w:hAnsi="KG Ten Thousand Reasons"/>
                <w:smallCaps/>
                <w:color w:val="000000" w:themeColor="text1"/>
              </w:rPr>
              <w:t>es êtres vivants dans leur environnement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F81BD" w:themeColor="accent1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F81BD" w:themeColor="accent1"/>
                <w:sz w:val="22"/>
                <w:szCs w:val="28"/>
              </w:rPr>
              <w:t>FC1 : L'alimentation (actions des comportements alimentaires)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F81BD" w:themeColor="accent1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F81BD" w:themeColor="accent1"/>
                <w:sz w:val="22"/>
                <w:szCs w:val="28"/>
              </w:rPr>
              <w:t>FC2 : L'alimentation (catégories d'aliments)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F81BD" w:themeColor="accent1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F81BD" w:themeColor="accent1"/>
                <w:sz w:val="22"/>
                <w:szCs w:val="28"/>
              </w:rPr>
              <w:t>FC3 : Le sommeil (besoins en sommeil)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F81BD" w:themeColor="accent1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F81BD" w:themeColor="accent1"/>
                <w:sz w:val="22"/>
                <w:szCs w:val="28"/>
              </w:rPr>
              <w:t>FC4 : Le sommeil (conséquences du manque de sommeil)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F81BD" w:themeColor="accent1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F81BD" w:themeColor="accent1"/>
                <w:sz w:val="22"/>
                <w:szCs w:val="28"/>
              </w:rPr>
              <w:t>FC5 : Le sport (effets positifs)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F81BD" w:themeColor="accent1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F81BD" w:themeColor="accent1"/>
                <w:sz w:val="22"/>
                <w:szCs w:val="28"/>
              </w:rPr>
              <w:t>FC6 : Le sport (effets sur l'organisme)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F81BD" w:themeColor="accent1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F81BD" w:themeColor="accent1"/>
                <w:sz w:val="22"/>
                <w:szCs w:val="28"/>
              </w:rPr>
              <w:t>FC7 : Les mouvements corporels (rôles dans la production de mouvements)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F81BD" w:themeColor="accent1"/>
                <w:sz w:val="22"/>
                <w:szCs w:val="28"/>
              </w:rPr>
            </w:pP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4F81BD" w:themeColor="accent1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4F81BD" w:themeColor="accent1"/>
                <w:sz w:val="22"/>
                <w:szCs w:val="28"/>
              </w:rPr>
              <w:t>FC8 : Les mouvements corporels (concevoir des modélisations)</w:t>
            </w:r>
          </w:p>
        </w:tc>
      </w:tr>
      <w:tr w:rsidR="004D10F0" w:rsidTr="004D10F0">
        <w:tc>
          <w:tcPr>
            <w:tcW w:w="2716" w:type="dxa"/>
            <w:shd w:val="clear" w:color="auto" w:fill="DDD9C3" w:themeFill="background2" w:themeFillShade="E6"/>
            <w:vAlign w:val="center"/>
          </w:tcPr>
          <w:p w:rsidR="004D10F0" w:rsidRPr="004D10F0" w:rsidRDefault="004D10F0" w:rsidP="004D10F0">
            <w:pPr>
              <w:jc w:val="center"/>
              <w:rPr>
                <w:color w:val="000000" w:themeColor="text1"/>
              </w:rPr>
            </w:pPr>
            <w:r w:rsidRPr="004D10F0">
              <w:rPr>
                <w:rFonts w:ascii="KG Ten Thousand Reasons" w:hAnsi="KG Ten Thousand Reasons"/>
                <w:smallCaps/>
                <w:color w:val="948A54" w:themeColor="background2" w:themeShade="80"/>
              </w:rPr>
              <w:t>L</w:t>
            </w:r>
            <w:r w:rsidRPr="004D10F0">
              <w:rPr>
                <w:rFonts w:ascii="KG Ten Thousand Reasons" w:hAnsi="KG Ten Thousand Reasons"/>
                <w:smallCaps/>
                <w:color w:val="000000" w:themeColor="text1"/>
              </w:rPr>
              <w:t>es objets techniques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948A54" w:themeColor="background2" w:themeShade="80"/>
                <w:sz w:val="22"/>
                <w:szCs w:val="28"/>
              </w:rPr>
            </w:pP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948A54" w:themeColor="background2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948A54" w:themeColor="background2" w:themeShade="80"/>
                <w:sz w:val="22"/>
                <w:szCs w:val="28"/>
              </w:rPr>
              <w:t>EV1 : Établir des relations de prédation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948A54" w:themeColor="background2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948A54" w:themeColor="background2" w:themeShade="80"/>
                <w:sz w:val="22"/>
                <w:szCs w:val="28"/>
              </w:rPr>
              <w:t>EV2 : Établir la notion de ressources alimentaires, de peuplement</w:t>
            </w:r>
          </w:p>
        </w:tc>
        <w:tc>
          <w:tcPr>
            <w:tcW w:w="2717" w:type="dxa"/>
            <w:shd w:val="clear" w:color="auto" w:fill="F2F2F2" w:themeFill="background1" w:themeFillShade="F2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948A54" w:themeColor="background2" w:themeShade="80"/>
                <w:sz w:val="22"/>
                <w:szCs w:val="28"/>
              </w:rPr>
            </w:pP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948A54" w:themeColor="background2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948A54" w:themeColor="background2" w:themeShade="80"/>
                <w:sz w:val="22"/>
                <w:szCs w:val="28"/>
              </w:rPr>
              <w:t>CT8 : Volcans et séismes (tremblements de terre)</w:t>
            </w:r>
          </w:p>
        </w:tc>
      </w:tr>
      <w:tr w:rsidR="004D10F0" w:rsidTr="004D10F0">
        <w:tc>
          <w:tcPr>
            <w:tcW w:w="2716" w:type="dxa"/>
            <w:shd w:val="clear" w:color="auto" w:fill="F2F2F2" w:themeFill="background1" w:themeFillShade="F2"/>
            <w:vAlign w:val="center"/>
          </w:tcPr>
          <w:p w:rsidR="004D10F0" w:rsidRPr="004D10F0" w:rsidRDefault="004D10F0" w:rsidP="004D10F0">
            <w:pPr>
              <w:jc w:val="center"/>
              <w:rPr>
                <w:rFonts w:ascii="KG Ten Thousand Reasons" w:hAnsi="KG Ten Thousand Reasons"/>
                <w:smallCaps/>
                <w:color w:val="000000" w:themeColor="text1"/>
              </w:rPr>
            </w:pPr>
            <w:r w:rsidRPr="004D10F0">
              <w:rPr>
                <w:rFonts w:ascii="KG Ten Thousand Reasons" w:hAnsi="KG Ten Thousand Reasons"/>
                <w:smallCaps/>
                <w:color w:val="808080" w:themeColor="background1" w:themeShade="80"/>
              </w:rPr>
              <w:t>E</w:t>
            </w:r>
            <w:r w:rsidRPr="004D10F0">
              <w:rPr>
                <w:rFonts w:ascii="KG Ten Thousand Reasons" w:hAnsi="KG Ten Thousand Reasons"/>
                <w:smallCaps/>
                <w:color w:val="000000" w:themeColor="text1"/>
              </w:rPr>
              <w:t>nvironnement et developpement durable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  <w:t>OT1 : Règles de sécurité, dangers de l'électricité (notions sur la sécurité électrique)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  <w:t>OT2 :  Règles de sécurité, dangers de l'électricité (distinguer pile et secteur)</w:t>
            </w:r>
          </w:p>
        </w:tc>
        <w:tc>
          <w:tcPr>
            <w:tcW w:w="2716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  <w:t>OT3 : Circuits électriques alimentés par des piles (fonctionnement)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  <w:t>OT4 :  Circuits électriques alimentés par des piles (conducteur/isolant)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  <w:t>OT5 :  Circuits électriques alimentés par des piles (montages)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  <w:t>OT6 :  Circuits électriques alimentés par des piles (représentation)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  <w:t>OT7 : Leviers et balances, équilibres (réaliser des équilibres)</w:t>
            </w:r>
          </w:p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  <w:t>OT8 : Leviers et balances, équilibres  (mesurer des masses)</w:t>
            </w:r>
          </w:p>
        </w:tc>
        <w:tc>
          <w:tcPr>
            <w:tcW w:w="2717" w:type="dxa"/>
            <w:shd w:val="clear" w:color="auto" w:fill="FFFFFF" w:themeFill="background1"/>
          </w:tcPr>
          <w:p w:rsidR="004D10F0" w:rsidRPr="004D10F0" w:rsidRDefault="004D10F0" w:rsidP="004D10F0">
            <w:pPr>
              <w:pStyle w:val="TableContents"/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</w:pPr>
            <w:r w:rsidRPr="004D10F0">
              <w:rPr>
                <w:rFonts w:ascii="Tekton Pro Cond" w:hAnsi="Tekton Pro Cond"/>
                <w:color w:val="808080" w:themeColor="background1" w:themeShade="80"/>
                <w:sz w:val="22"/>
                <w:szCs w:val="28"/>
              </w:rPr>
              <w:t>M7 : Le trajet de l'eau dans la nature (risques majeurs)</w:t>
            </w:r>
          </w:p>
        </w:tc>
      </w:tr>
    </w:tbl>
    <w:p w:rsidR="004D10F0" w:rsidRDefault="004D10F0" w:rsidP="00F14FA9">
      <w:pPr>
        <w:rPr>
          <w:sz w:val="2"/>
        </w:rPr>
      </w:pPr>
    </w:p>
    <w:p w:rsidR="004D10F0" w:rsidRDefault="004D10F0" w:rsidP="00F14FA9">
      <w:pPr>
        <w:rPr>
          <w:sz w:val="2"/>
        </w:rPr>
      </w:pPr>
    </w:p>
    <w:sectPr w:rsidR="004D10F0" w:rsidSect="004D10F0">
      <w:footerReference w:type="default" r:id="rId6"/>
      <w:pgSz w:w="16838" w:h="11906" w:orient="landscape"/>
      <w:pgMar w:top="284" w:right="253" w:bottom="284" w:left="426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524B" w:rsidRDefault="00FE524B" w:rsidP="00421065">
      <w:pPr>
        <w:spacing w:after="0" w:line="240" w:lineRule="auto"/>
      </w:pPr>
      <w:r>
        <w:separator/>
      </w:r>
    </w:p>
  </w:endnote>
  <w:endnote w:type="continuationSeparator" w:id="0">
    <w:p w:rsidR="00FE524B" w:rsidRDefault="00FE524B" w:rsidP="00421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ucida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065" w:rsidRPr="00421065" w:rsidRDefault="00421065" w:rsidP="00421065">
    <w:pPr>
      <w:pStyle w:val="Footer"/>
      <w:tabs>
        <w:tab w:val="right" w:pos="9498"/>
      </w:tabs>
      <w:ind w:left="284" w:right="-284"/>
      <w:jc w:val="center"/>
      <w:rPr>
        <w:rFonts w:ascii="Tekton Pro" w:hAnsi="Tekton Pro"/>
      </w:rPr>
    </w:pPr>
    <w:r>
      <w:rPr>
        <w:rFonts w:ascii="Tekton Pro" w:hAnsi="Tekton Pro"/>
      </w:rPr>
      <w:t xml:space="preserve">Page </w:t>
    </w:r>
    <w:r w:rsidRPr="00421065">
      <w:rPr>
        <w:rFonts w:ascii="Tekton Pro" w:hAnsi="Tekton Pro"/>
        <w:color w:val="F79646" w:themeColor="accent6"/>
      </w:rPr>
      <w:t>|</w:t>
    </w:r>
    <w:r>
      <w:rPr>
        <w:rFonts w:ascii="Tekton Pro" w:hAnsi="Tekton Pro"/>
      </w:rPr>
      <w:t xml:space="preserve">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4D10F0">
      <w:rPr>
        <w:rFonts w:ascii="Tekton Pro" w:hAnsi="Tekton Pro"/>
        <w:noProof/>
      </w:rPr>
      <w:t>1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 w:rsidRPr="00421065">
      <w:rPr>
        <w:rFonts w:ascii="Tekton Pro" w:hAnsi="Tekton Pro"/>
        <w:color w:val="F79646" w:themeColor="accent6"/>
      </w:rPr>
      <w:t xml:space="preserve">Camille R.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421065">
      <w:rPr>
        <w:rFonts w:ascii="Tekton Pro" w:hAnsi="Tekton Pro"/>
        <w:color w:val="F79646" w:themeColor="accent6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524B" w:rsidRDefault="00FE524B" w:rsidP="00421065">
      <w:pPr>
        <w:spacing w:after="0" w:line="240" w:lineRule="auto"/>
      </w:pPr>
      <w:r>
        <w:separator/>
      </w:r>
    </w:p>
  </w:footnote>
  <w:footnote w:type="continuationSeparator" w:id="0">
    <w:p w:rsidR="00FE524B" w:rsidRDefault="00FE524B" w:rsidP="004210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5575"/>
    <w:rsid w:val="00051034"/>
    <w:rsid w:val="00155575"/>
    <w:rsid w:val="00176325"/>
    <w:rsid w:val="001B41F1"/>
    <w:rsid w:val="00225685"/>
    <w:rsid w:val="00243C20"/>
    <w:rsid w:val="0025598D"/>
    <w:rsid w:val="002C1913"/>
    <w:rsid w:val="002E04C5"/>
    <w:rsid w:val="00336B5E"/>
    <w:rsid w:val="003D4159"/>
    <w:rsid w:val="00421065"/>
    <w:rsid w:val="004D10F0"/>
    <w:rsid w:val="005B0F6A"/>
    <w:rsid w:val="005F024E"/>
    <w:rsid w:val="00664155"/>
    <w:rsid w:val="00690AF2"/>
    <w:rsid w:val="006E5F80"/>
    <w:rsid w:val="008863DF"/>
    <w:rsid w:val="008A1E62"/>
    <w:rsid w:val="008C6C84"/>
    <w:rsid w:val="008E02AF"/>
    <w:rsid w:val="009870BB"/>
    <w:rsid w:val="009D7D91"/>
    <w:rsid w:val="00A46D20"/>
    <w:rsid w:val="00A54BB8"/>
    <w:rsid w:val="00AD3B2C"/>
    <w:rsid w:val="00B4034E"/>
    <w:rsid w:val="00C07F77"/>
    <w:rsid w:val="00C251FF"/>
    <w:rsid w:val="00C75485"/>
    <w:rsid w:val="00EE0E04"/>
    <w:rsid w:val="00EE2AB6"/>
    <w:rsid w:val="00F14FA9"/>
    <w:rsid w:val="00F60AE5"/>
    <w:rsid w:val="00FE5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1305]" strokecolor="none [1305]"/>
    </o:shapedefaults>
    <o:shapelayout v:ext="edit">
      <o:idmap v:ext="edit" data="1"/>
      <o:rules v:ext="edit">
        <o:r id="V:Rule2" type="connector" idref="#_x0000_s1071"/>
      </o:rules>
      <o:regrouptable v:ext="edit">
        <o:entry new="1" old="0"/>
        <o:entry new="2" old="1"/>
        <o:entry new="3" old="2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2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D4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15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21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21065"/>
  </w:style>
  <w:style w:type="paragraph" w:styleId="Footer">
    <w:name w:val="footer"/>
    <w:basedOn w:val="Normal"/>
    <w:link w:val="FooterChar"/>
    <w:uiPriority w:val="99"/>
    <w:unhideWhenUsed/>
    <w:rsid w:val="00421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065"/>
  </w:style>
  <w:style w:type="paragraph" w:customStyle="1" w:styleId="TableContents">
    <w:name w:val="Table Contents"/>
    <w:basedOn w:val="Normal"/>
    <w:rsid w:val="004D10F0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455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dcterms:created xsi:type="dcterms:W3CDTF">2012-09-19T16:12:00Z</dcterms:created>
  <dcterms:modified xsi:type="dcterms:W3CDTF">2012-09-19T16:18:00Z</dcterms:modified>
</cp:coreProperties>
</file>